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1B" w:rsidRDefault="00503EF4"/>
    <w:p w:rsidR="00CD30AB" w:rsidRDefault="00CD30AB"/>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9. §</w:t>
      </w:r>
      <w:r>
        <w:rPr>
          <w:rFonts w:ascii="Times" w:hAnsi="Times" w:cs="Times"/>
          <w:color w:val="000000"/>
        </w:rPr>
        <w:t> (1) Termőföld más célú hasznosításának minősül: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xml:space="preserve"> a termőföld belterületbe vonásának engedélyezése;</w:t>
      </w:r>
    </w:p>
    <w:p w:rsidR="00CD30AB" w:rsidRP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(3) A termőföld más célú hasznosítása időleges vagy végleges lehet. A termőföld belterületbe vonása, valamint a termőföldnek a 15/B. §</w:t>
      </w:r>
      <w:proofErr w:type="spellStart"/>
      <w:r>
        <w:rPr>
          <w:rFonts w:ascii="Times" w:hAnsi="Times" w:cs="Times"/>
          <w:color w:val="000000"/>
        </w:rPr>
        <w:t>-ában</w:t>
      </w:r>
      <w:proofErr w:type="spellEnd"/>
      <w:r>
        <w:rPr>
          <w:rFonts w:ascii="Times" w:hAnsi="Times" w:cs="Times"/>
          <w:color w:val="000000"/>
        </w:rPr>
        <w:t xml:space="preserve"> meghatározott célból történő igénybevétele végleges más célú</w:t>
      </w:r>
      <w:bookmarkStart w:id="0" w:name="_GoBack"/>
      <w:bookmarkEnd w:id="0"/>
      <w:r>
        <w:rPr>
          <w:rFonts w:ascii="Times" w:hAnsi="Times" w:cs="Times"/>
          <w:color w:val="000000"/>
        </w:rPr>
        <w:t xml:space="preserve"> hasznosításnak minősül.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10/A. §</w:t>
      </w:r>
      <w:bookmarkStart w:id="1" w:name="foot_61_place"/>
      <w:r>
        <w:rPr>
          <w:rFonts w:ascii="Times" w:hAnsi="Times" w:cs="Times"/>
          <w:b/>
          <w:bCs/>
          <w:color w:val="000000"/>
          <w:vertAlign w:val="superscript"/>
        </w:rPr>
        <w:fldChar w:fldCharType="begin"/>
      </w:r>
      <w:r>
        <w:rPr>
          <w:rFonts w:ascii="Times" w:hAnsi="Times" w:cs="Times"/>
          <w:b/>
          <w:bCs/>
          <w:color w:val="000000"/>
          <w:vertAlign w:val="superscript"/>
        </w:rPr>
        <w:instrText xml:space="preserve"> HYPERLINK "http://njt.hu/cgi_bin/njt_doc.cgi?docid=111491.383715" \l "foot61" </w:instrText>
      </w:r>
      <w:r>
        <w:rPr>
          <w:rFonts w:ascii="Times" w:hAnsi="Times" w:cs="Times"/>
          <w:b/>
          <w:bCs/>
          <w:color w:val="000000"/>
          <w:vertAlign w:val="superscript"/>
        </w:rPr>
        <w:fldChar w:fldCharType="end"/>
      </w:r>
      <w:bookmarkEnd w:id="1"/>
      <w:r>
        <w:rPr>
          <w:rFonts w:ascii="Times" w:hAnsi="Times" w:cs="Times"/>
          <w:color w:val="000000"/>
        </w:rPr>
        <w:t> (1) A termőföld más célú hasznosítása megkezdésének minősül: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a 9. § (1) bekezdés </w:t>
      </w:r>
      <w:r>
        <w:rPr>
          <w:rFonts w:ascii="Times" w:hAnsi="Times" w:cs="Times"/>
          <w:i/>
          <w:iCs/>
          <w:color w:val="000000"/>
        </w:rPr>
        <w:t>b)</w:t>
      </w:r>
      <w:r>
        <w:rPr>
          <w:rFonts w:ascii="Times" w:hAnsi="Times" w:cs="Times"/>
          <w:color w:val="000000"/>
        </w:rPr>
        <w:t> pontjában meghatározott esetben a fekvéshatár változás ingatlan-nyilvántartási átvezetése.</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11. §</w:t>
      </w:r>
      <w:r>
        <w:rPr>
          <w:rFonts w:ascii="Times" w:hAnsi="Times" w:cs="Times"/>
          <w:color w:val="000000"/>
        </w:rPr>
        <w:t> (1) Termőföldet más célra csak kivételesen – elsősorban a gyengébb minőségű termőföld igénybevételével – lehet felhasználni.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 xml:space="preserve"> (4) Az igénybevételt az indokolt szükségletnek megfelelő legkisebb területre kell korlátozni.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12. §</w:t>
      </w:r>
      <w:r>
        <w:rPr>
          <w:rFonts w:ascii="Times" w:hAnsi="Times" w:cs="Times"/>
          <w:color w:val="000000"/>
        </w:rPr>
        <w:t> (1) A más célú hasznosítás iránti kérelemnek tartalmaznia kell:</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a</w:t>
      </w:r>
      <w:proofErr w:type="gramEnd"/>
      <w:r>
        <w:rPr>
          <w:rFonts w:ascii="Times" w:hAnsi="Times" w:cs="Times"/>
          <w:i/>
          <w:iCs/>
          <w:color w:val="000000"/>
        </w:rPr>
        <w:t>)</w:t>
      </w:r>
      <w:r>
        <w:rPr>
          <w:rFonts w:ascii="Times" w:hAnsi="Times" w:cs="Times"/>
          <w:color w:val="000000"/>
        </w:rPr>
        <w:t> az érintett földrészlet vagy földrészletek megjelölését (település, fekvés, helyrajzi szám);</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a más célú hasznosításhoz szükséges teljes területigényt;</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a más célú hasznosítás pontos célját, és tervezett időtartamát, ha időleges.</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d)</w:t>
      </w:r>
      <w:r w:rsidR="00A52187">
        <w:rPr>
          <w:rFonts w:ascii="Times" w:hAnsi="Times" w:cs="Times"/>
          <w:color w:val="000000"/>
        </w:rPr>
        <w:t xml:space="preserve"> </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 xml:space="preserve"> (2) A kérelemhez csatolni kell:</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a</w:t>
      </w:r>
      <w:proofErr w:type="gramEnd"/>
      <w:r>
        <w:rPr>
          <w:rFonts w:ascii="Times" w:hAnsi="Times" w:cs="Times"/>
          <w:i/>
          <w:iCs/>
          <w:color w:val="000000"/>
        </w:rPr>
        <w:t>)</w:t>
      </w:r>
      <w:r>
        <w:rPr>
          <w:rFonts w:ascii="Times" w:hAnsi="Times" w:cs="Times"/>
          <w:color w:val="000000"/>
        </w:rPr>
        <w:t> az állami ingatlan-nyilvántartási térképi adatbázisból szolgáltatott, 30 napnál nem régebbi hiteles szemlemásolatot, amelyen egyértelmű jelzéssel ábrázolni kell a más célú hasznosításra tervezett területet, valamint az ehhez tartozó területszámítást, kivéve, ha a kérelem kizárólag az érintett földrészlet vagy földrészletek teljes területére vonatkozik;</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a 21. § (5) bekezdésében foglalt kötelezettségvállaló nyilatkozatot a járulékmentesség igénybevételéhez;</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a talaj humuszos termőrétegének mentését megalapozó talajvédelmi tervet, ha a végleges más célú hasznosítás engedélyezése iránti kérelemben megjelölt teljes területigény és cél az 50. § (2) bekezdésének </w:t>
      </w:r>
      <w:r>
        <w:rPr>
          <w:rFonts w:ascii="Times" w:hAnsi="Times" w:cs="Times"/>
          <w:i/>
          <w:iCs/>
          <w:color w:val="000000"/>
        </w:rPr>
        <w:t>b)</w:t>
      </w:r>
      <w:r>
        <w:rPr>
          <w:rFonts w:ascii="Times" w:hAnsi="Times" w:cs="Times"/>
          <w:color w:val="000000"/>
        </w:rPr>
        <w:t> pontjában foglaltak megvalósítására irányul;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d)</w:t>
      </w:r>
      <w:r>
        <w:rPr>
          <w:rFonts w:ascii="Times" w:hAnsi="Times" w:cs="Times"/>
          <w:color w:val="000000"/>
        </w:rPr>
        <w:t> az 50. § (2) bekezdés </w:t>
      </w:r>
      <w:r>
        <w:rPr>
          <w:rFonts w:ascii="Times" w:hAnsi="Times" w:cs="Times"/>
          <w:i/>
          <w:iCs/>
          <w:color w:val="000000"/>
        </w:rPr>
        <w:t>d)</w:t>
      </w:r>
      <w:r>
        <w:rPr>
          <w:rFonts w:ascii="Times" w:hAnsi="Times" w:cs="Times"/>
          <w:color w:val="000000"/>
        </w:rPr>
        <w:t> pontjában meghatározott, az eredeti állapot helyreállítását megalapozó talajvédelmi tervet;</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e</w:t>
      </w:r>
      <w:proofErr w:type="gramEnd"/>
      <w:r>
        <w:rPr>
          <w:rFonts w:ascii="Times" w:hAnsi="Times" w:cs="Times"/>
          <w:i/>
          <w:iCs/>
          <w:color w:val="000000"/>
        </w:rPr>
        <w:t>)</w:t>
      </w:r>
      <w:r>
        <w:rPr>
          <w:rFonts w:ascii="Times" w:hAnsi="Times" w:cs="Times"/>
          <w:color w:val="000000"/>
        </w:rPr>
        <w:t xml:space="preserve"> az illetékes hegyközség hozzájárulását, ha a kérelem a borszőlő termőhelyi kataszterébe </w:t>
      </w:r>
      <w:proofErr w:type="gramStart"/>
      <w:r>
        <w:rPr>
          <w:rFonts w:ascii="Times" w:hAnsi="Times" w:cs="Times"/>
          <w:color w:val="000000"/>
        </w:rPr>
        <w:t>tartozó</w:t>
      </w:r>
      <w:proofErr w:type="gramEnd"/>
      <w:r>
        <w:rPr>
          <w:rFonts w:ascii="Times" w:hAnsi="Times" w:cs="Times"/>
          <w:color w:val="000000"/>
        </w:rPr>
        <w:t xml:space="preserve"> területet érint;</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f</w:t>
      </w:r>
      <w:proofErr w:type="gramEnd"/>
      <w:r>
        <w:rPr>
          <w:rFonts w:ascii="Times" w:hAnsi="Times" w:cs="Times"/>
          <w:i/>
          <w:iCs/>
          <w:color w:val="000000"/>
        </w:rPr>
        <w:t>)</w:t>
      </w:r>
      <w:r>
        <w:rPr>
          <w:rFonts w:ascii="Times" w:hAnsi="Times" w:cs="Times"/>
          <w:color w:val="000000"/>
        </w:rPr>
        <w:t> a 10. § (4) bekezdése szerinti esetben a tulajdonszerzés alapjául szolgáló okirat másolatát.</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(2a) A (2) bekezdés </w:t>
      </w:r>
      <w:r>
        <w:rPr>
          <w:rFonts w:ascii="Times" w:hAnsi="Times" w:cs="Times"/>
          <w:i/>
          <w:iCs/>
          <w:color w:val="000000"/>
        </w:rPr>
        <w:t>c)</w:t>
      </w:r>
      <w:r>
        <w:rPr>
          <w:rFonts w:ascii="Times" w:hAnsi="Times" w:cs="Times"/>
          <w:color w:val="000000"/>
        </w:rPr>
        <w:t> pontjában meghatározott talajvédelmi tervet nem kell csatolni a kérelemhez az olyan nyomvonalas beruházásoknak a megvalósításához, ahol a termőföld csak légvezeték biztonsági övezetével érintett.</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13. §</w:t>
      </w:r>
      <w:r>
        <w:rPr>
          <w:rFonts w:ascii="Times" w:hAnsi="Times" w:cs="Times"/>
          <w:color w:val="000000"/>
        </w:rPr>
        <w:t> (1) A termőföld más célú hasznosítására kiadott engedély – annak véglegessé válásának napját követő naptól számított – 4 évig hatályos. Ha a termőföld más célú hasznosítására kiadott engedély időbeli hatálya alatt az engedély szerinti hasznosítás megkezdésére nem kerül sor, az engedély hatályát veszti. Az engedély jogosultjának kérelmére hatályon kívül kell helyezni az engedélyt, ha az engedély jogosultja arról nyilatkozik, hogy az engedélyben foglalt jogosultságáról lemond, feltéve, ha a termőföld engedélyezett más célú hasznosítását nem kezdte meg.</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(2) A határozat időbeli hatályán belül ugyanazon földrészletnek azonos területére benyújtott más célú hasznosítás iránti kérelmet – a 15. § (1a) bekezdésében és a 15/C. §</w:t>
      </w:r>
      <w:proofErr w:type="spellStart"/>
      <w:r>
        <w:rPr>
          <w:rFonts w:ascii="Times" w:hAnsi="Times" w:cs="Times"/>
          <w:color w:val="000000"/>
        </w:rPr>
        <w:t>-ban</w:t>
      </w:r>
      <w:proofErr w:type="spellEnd"/>
      <w:r>
        <w:rPr>
          <w:rFonts w:ascii="Times" w:hAnsi="Times" w:cs="Times"/>
          <w:color w:val="000000"/>
        </w:rPr>
        <w:t xml:space="preserve"> meghatározott esetek kivételével – vissza kell utasítani.</w:t>
      </w:r>
    </w:p>
    <w:p w:rsidR="00CD30AB" w:rsidRDefault="00CD30AB"/>
    <w:p w:rsidR="00CD30AB" w:rsidRDefault="00CD30AB" w:rsidP="00CD30AB">
      <w:pPr>
        <w:pStyle w:val="NormlWeb"/>
        <w:spacing w:before="160" w:beforeAutospacing="0" w:after="320" w:afterAutospacing="0"/>
        <w:ind w:firstLine="180"/>
        <w:jc w:val="center"/>
        <w:rPr>
          <w:rFonts w:ascii="Times" w:hAnsi="Times" w:cs="Times"/>
          <w:color w:val="000000"/>
        </w:rPr>
      </w:pPr>
      <w:r>
        <w:rPr>
          <w:rFonts w:ascii="Times" w:hAnsi="Times" w:cs="Times"/>
          <w:i/>
          <w:iCs/>
          <w:color w:val="000000"/>
        </w:rPr>
        <w:lastRenderedPageBreak/>
        <w:t>A belterületbe vonás engedélyezésére vonatkozó külön szabályok</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15. §</w:t>
      </w:r>
      <w:r>
        <w:rPr>
          <w:rFonts w:ascii="Times" w:hAnsi="Times" w:cs="Times"/>
          <w:color w:val="000000"/>
        </w:rPr>
        <w:t> (1) A belterületbe vonás esetén a 9–13. §</w:t>
      </w:r>
      <w:proofErr w:type="spellStart"/>
      <w:r>
        <w:rPr>
          <w:rFonts w:ascii="Times" w:hAnsi="Times" w:cs="Times"/>
          <w:color w:val="000000"/>
        </w:rPr>
        <w:t>-ban</w:t>
      </w:r>
      <w:proofErr w:type="spellEnd"/>
      <w:r>
        <w:rPr>
          <w:rFonts w:ascii="Times" w:hAnsi="Times" w:cs="Times"/>
          <w:color w:val="000000"/>
        </w:rPr>
        <w:t xml:space="preserve"> foglaltakat az (1a)–(6) bekezdés szerinti eltérésekkel kell alkalmazni.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(1a) A 13. § (2) bekezdése nem alkalmazható, ha a belterületbe vonás iránti kérelem olyan földrészletet is tartalmaz, amelynek végleges más célú hasznosítását az ingatlanügyi hatóság már engedélyezte, és az engedély időbeli hatálya még nem járt le.</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 xml:space="preserve">(2) Termőföld belterületbe vonása iránti kérelmet kizárólag az önkormányzat terjeszthet elő. </w:t>
      </w:r>
      <w:r w:rsidRPr="00AE0AF5">
        <w:rPr>
          <w:rFonts w:ascii="Times" w:hAnsi="Times" w:cs="Times"/>
          <w:color w:val="000000"/>
          <w:highlight w:val="yellow"/>
        </w:rPr>
        <w:t xml:space="preserve">A kérelemhez csatolni kell az </w:t>
      </w:r>
      <w:r w:rsidRPr="00AE0AF5">
        <w:rPr>
          <w:rFonts w:ascii="Times" w:hAnsi="Times" w:cs="Times"/>
          <w:color w:val="000000"/>
          <w:highlight w:val="yellow"/>
          <w:u w:val="single"/>
        </w:rPr>
        <w:t>érintett földrészletek helyrajzi számait</w:t>
      </w:r>
      <w:r w:rsidRPr="00AE0AF5">
        <w:rPr>
          <w:rFonts w:ascii="Times" w:hAnsi="Times" w:cs="Times"/>
          <w:color w:val="000000"/>
          <w:highlight w:val="yellow"/>
        </w:rPr>
        <w:t xml:space="preserve">, a </w:t>
      </w:r>
      <w:r w:rsidRPr="00AE0AF5">
        <w:rPr>
          <w:rFonts w:ascii="Times" w:hAnsi="Times" w:cs="Times"/>
          <w:color w:val="000000"/>
          <w:highlight w:val="yellow"/>
          <w:u w:val="single"/>
        </w:rPr>
        <w:t>területnagyságot</w:t>
      </w:r>
      <w:r w:rsidRPr="00AE0AF5">
        <w:rPr>
          <w:rFonts w:ascii="Times" w:hAnsi="Times" w:cs="Times"/>
          <w:color w:val="000000"/>
          <w:highlight w:val="yellow"/>
        </w:rPr>
        <w:t xml:space="preserve">, és a </w:t>
      </w:r>
      <w:proofErr w:type="spellStart"/>
      <w:r w:rsidRPr="00AE0AF5">
        <w:rPr>
          <w:rFonts w:ascii="Times" w:hAnsi="Times" w:cs="Times"/>
          <w:color w:val="000000"/>
          <w:highlight w:val="yellow"/>
          <w:u w:val="single"/>
        </w:rPr>
        <w:t>területfelhasználási</w:t>
      </w:r>
      <w:proofErr w:type="spellEnd"/>
      <w:r w:rsidRPr="00AE0AF5">
        <w:rPr>
          <w:rFonts w:ascii="Times" w:hAnsi="Times" w:cs="Times"/>
          <w:color w:val="000000"/>
          <w:highlight w:val="yellow"/>
          <w:u w:val="single"/>
        </w:rPr>
        <w:t xml:space="preserve"> célt</w:t>
      </w:r>
      <w:r w:rsidRPr="00AE0AF5">
        <w:rPr>
          <w:rFonts w:ascii="Times" w:hAnsi="Times" w:cs="Times"/>
          <w:color w:val="000000"/>
          <w:highlight w:val="yellow"/>
        </w:rPr>
        <w:t xml:space="preserve"> tartalmazó képviselő-testületi döntést, valamint a településszerkezeti terv kivonatát.</w:t>
      </w:r>
      <w:r>
        <w:rPr>
          <w:rFonts w:ascii="Times" w:hAnsi="Times" w:cs="Times"/>
          <w:color w:val="000000"/>
        </w:rPr>
        <w:t xml:space="preserve"> A kérelemben az önkormányzatnak nyilatkozatnia kell arról, miszerint a kérelemben megjelölt földrészletek a kérelemben megjelölt célra 4 éven belül ténylegesen felhasználásra kerülnek.</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(3) Belterületi, illetőleg beépítésre szánt területi felhasználásra kerülő területek folyamatosan, a településfejlesztés megvalósításától függően vonhatók a belterületbe.</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(4) Belterületbe vonás iránti kérelem elbírálása során elutasítási ok lehet, ha a kérelemmel érintett termőföldek nem szomszédosak belterületi fölrészletekkel, továbbá a kérelmezett, az átlagosnál jobb minőségű termőföldek mellett gyengébb minőségű termőföldek is szomszédosak belterületi földrészletekkel. E bekezdés alkalmazása során szomszédos földrészleteknek minősülnek azok a földrészletek is, amelyeket önálló helyrajzi számon nyilvántartott út (árok, csatorna) választ el a belterülettől.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(5) El kell utasítani a belterületbe vonás iránti kérelmet,</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a</w:t>
      </w:r>
      <w:proofErr w:type="gramEnd"/>
      <w:r>
        <w:rPr>
          <w:rFonts w:ascii="Times" w:hAnsi="Times" w:cs="Times"/>
          <w:i/>
          <w:iCs/>
          <w:color w:val="000000"/>
        </w:rPr>
        <w:t>)</w:t>
      </w:r>
      <w:r>
        <w:rPr>
          <w:rFonts w:ascii="Times" w:hAnsi="Times" w:cs="Times"/>
          <w:color w:val="000000"/>
        </w:rPr>
        <w:t> ha az nem olyan földrészletekre vonatkozik, amelyeket az önkormányzat a településszerkezeti tervben meghatározott célra 4 éven belül ténylegesen felhasználni tervez,</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xml:space="preserve"> ha az olyan </w:t>
      </w:r>
      <w:proofErr w:type="spellStart"/>
      <w:r>
        <w:rPr>
          <w:rFonts w:ascii="Times" w:hAnsi="Times" w:cs="Times"/>
          <w:color w:val="000000"/>
        </w:rPr>
        <w:t>területfelhasználási</w:t>
      </w:r>
      <w:proofErr w:type="spellEnd"/>
      <w:r>
        <w:rPr>
          <w:rFonts w:ascii="Times" w:hAnsi="Times" w:cs="Times"/>
          <w:color w:val="000000"/>
        </w:rPr>
        <w:t xml:space="preserve"> célra irányul, amely a település belterületén beépítésre kijelölt, de még fel nem használt területén megvalósítható, vagy</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ha a kérelemben és a képviselő-testületi döntésben megjelölt földrészletek nem azonosak.</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(6) Új község alakítása, településegyesítés megszüntetése esetén a belterületbe vonás során, valamint zártkerti ingatlannak a belterületbe vonása során a (2) bekezdés utolsó mondatát, a (3)–(5) bekezdés rendelkezéseit, továbbá a 11. § (2) bekezdésének első mondatát nem kell alkalmazni.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15/A. §</w:t>
      </w:r>
      <w:r>
        <w:rPr>
          <w:rFonts w:ascii="Times" w:hAnsi="Times" w:cs="Times"/>
          <w:color w:val="000000"/>
        </w:rPr>
        <w:t> Ha az ingatlanügyi hatóság a 15. § (1a) bekezdésében meghatározott körülmény fennállása mellett a termőföld belterületbe vonását engedélyezi, ezen engedély véglegessé válása napjával a korábban kiadott végleges más célú hasznosítás engedélyezéséről szóló határozat hatályát veszti, feltéve, hogy a 22. § (4) bekezdés </w:t>
      </w:r>
      <w:r>
        <w:rPr>
          <w:rFonts w:ascii="Times" w:hAnsi="Times" w:cs="Times"/>
          <w:i/>
          <w:iCs/>
          <w:color w:val="000000"/>
        </w:rPr>
        <w:t>a)</w:t>
      </w:r>
      <w:r>
        <w:rPr>
          <w:rFonts w:ascii="Times" w:hAnsi="Times" w:cs="Times"/>
          <w:color w:val="000000"/>
        </w:rPr>
        <w:t> pontjában foglalt földvédelmi járulékfizetési kötelezettség esedékessége a belterületbe vonás engedélyezéséről szóló határozat meghozatalának napjáig nem állt be. A végleges más célú hasznosítás engedélyezéséről szóló határozat hatályának megszűnéséről a belterületbe vonás engedélyezéséről szóló határozatban kell rendelkezni.</w:t>
      </w:r>
    </w:p>
    <w:p w:rsidR="00A52187" w:rsidRDefault="00A52187" w:rsidP="00CD30AB">
      <w:pPr>
        <w:pStyle w:val="NormlWeb"/>
        <w:spacing w:before="0" w:beforeAutospacing="0" w:after="20" w:afterAutospacing="0"/>
        <w:ind w:firstLine="180"/>
        <w:jc w:val="both"/>
        <w:rPr>
          <w:rFonts w:ascii="Times" w:hAnsi="Times" w:cs="Times"/>
          <w:b/>
          <w:bCs/>
          <w:color w:val="000000"/>
        </w:rPr>
      </w:pP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21. §</w:t>
      </w:r>
      <w:r>
        <w:rPr>
          <w:rFonts w:ascii="Times" w:hAnsi="Times" w:cs="Times"/>
          <w:color w:val="000000"/>
        </w:rPr>
        <w:t> (1) A termőföld más célú hasznosítása esetén egyszeri földvédelmi járulékot (a továbbiakban: járulék) kell fizetni.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(2) A járulék mértékét e törvény </w:t>
      </w:r>
      <w:r>
        <w:rPr>
          <w:rFonts w:ascii="Times" w:hAnsi="Times" w:cs="Times"/>
          <w:i/>
          <w:iCs/>
          <w:color w:val="000000"/>
        </w:rPr>
        <w:t>1. melléklete</w:t>
      </w:r>
      <w:r>
        <w:rPr>
          <w:rFonts w:ascii="Times" w:hAnsi="Times" w:cs="Times"/>
          <w:color w:val="000000"/>
        </w:rPr>
        <w:t> tartalmazza.</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 xml:space="preserve">(3) A járulék megfizetésére – a termőföld belterületbe vonásának esetét kivéve – az igénybevevőt kell kötelezni. </w:t>
      </w:r>
      <w:r w:rsidRPr="00636644">
        <w:rPr>
          <w:rFonts w:ascii="Times" w:hAnsi="Times" w:cs="Times"/>
          <w:color w:val="000000"/>
          <w:highlight w:val="yellow"/>
        </w:rPr>
        <w:t>Termőföld belterületbe vonása miatt a járulékfizetési kötelezettség az önkormányzatot terheli</w:t>
      </w:r>
      <w:r>
        <w:rPr>
          <w:rFonts w:ascii="Times" w:hAnsi="Times" w:cs="Times"/>
          <w:color w:val="000000"/>
        </w:rPr>
        <w:t>.</w:t>
      </w:r>
    </w:p>
    <w:p w:rsidR="00CD30AB" w:rsidRDefault="00CD30AB" w:rsidP="00636644">
      <w:pPr>
        <w:pStyle w:val="NormlWeb"/>
        <w:shd w:val="clear" w:color="auto" w:fill="FFFF00"/>
        <w:spacing w:before="0" w:beforeAutospacing="0" w:after="20" w:afterAutospacing="0"/>
        <w:ind w:firstLine="180"/>
        <w:jc w:val="both"/>
        <w:rPr>
          <w:rFonts w:ascii="Times" w:hAnsi="Times" w:cs="Times"/>
          <w:color w:val="000000"/>
        </w:rPr>
      </w:pPr>
      <w:r>
        <w:rPr>
          <w:rFonts w:ascii="Times" w:hAnsi="Times" w:cs="Times"/>
          <w:color w:val="000000"/>
        </w:rPr>
        <w:t>(4) A járulék teljes összegének megfizetése</w:t>
      </w:r>
    </w:p>
    <w:p w:rsidR="00CD30AB" w:rsidRDefault="00CD30AB" w:rsidP="00CD30AB">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a</w:t>
      </w:r>
      <w:proofErr w:type="gramEnd"/>
      <w:r>
        <w:rPr>
          <w:rFonts w:ascii="Times" w:hAnsi="Times" w:cs="Times"/>
          <w:i/>
          <w:iCs/>
          <w:color w:val="000000"/>
        </w:rPr>
        <w:t>)</w:t>
      </w:r>
      <w:r>
        <w:rPr>
          <w:rFonts w:ascii="Times" w:hAnsi="Times" w:cs="Times"/>
          <w:color w:val="000000"/>
        </w:rPr>
        <w:t> végleges más célú hasznosítás esetén – a termőföld belterületbe vonásának esetét kivéve – az igénybevétel megkezdése napján,</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lastRenderedPageBreak/>
        <w:t>b)</w:t>
      </w:r>
      <w:r>
        <w:rPr>
          <w:rFonts w:ascii="Times" w:hAnsi="Times" w:cs="Times"/>
          <w:color w:val="000000"/>
        </w:rPr>
        <w:t xml:space="preserve"> termőföld </w:t>
      </w:r>
      <w:r w:rsidRPr="00636644">
        <w:rPr>
          <w:rFonts w:ascii="Times" w:hAnsi="Times" w:cs="Times"/>
          <w:color w:val="000000"/>
          <w:highlight w:val="yellow"/>
        </w:rPr>
        <w:t>belterületbe vonásának engedélyezése esetén</w:t>
      </w:r>
      <w:r>
        <w:rPr>
          <w:rFonts w:ascii="Times" w:hAnsi="Times" w:cs="Times"/>
          <w:color w:val="000000"/>
        </w:rPr>
        <w:t xml:space="preserve">, illetőleg engedély nélküli más célú hasznosítás esetén az engedélyező, illetőleg az eredeti állapot helyreállítását elfogadó, illetve a más célú hasznosítás folytatásához hozzájáruló </w:t>
      </w:r>
      <w:r w:rsidRPr="00636644">
        <w:rPr>
          <w:rFonts w:ascii="Times" w:hAnsi="Times" w:cs="Times"/>
          <w:color w:val="000000"/>
          <w:highlight w:val="yellow"/>
        </w:rPr>
        <w:t>határozat véglegessé válását követő 30 napon belül,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időleges más célú hasznosítás esetén az eredeti állapot helyreállítását elfogadó határozat véglegessé válását követő 30 napon belül,</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d)</w:t>
      </w:r>
      <w:r>
        <w:rPr>
          <w:rFonts w:ascii="Times" w:hAnsi="Times" w:cs="Times"/>
          <w:color w:val="000000"/>
        </w:rPr>
        <w:t> a 14. § (9) bekezdésében meghatározott esetben a végleges más célú hasznosítás engedélyezéséről szóló határozat véglegessé válását követő 30 napon belül</w:t>
      </w:r>
    </w:p>
    <w:p w:rsidR="00CD30AB" w:rsidRDefault="00CD30AB" w:rsidP="00CD30AB">
      <w:pPr>
        <w:pStyle w:val="NormlWeb"/>
        <w:spacing w:before="0" w:beforeAutospacing="0" w:after="20" w:afterAutospacing="0"/>
        <w:ind w:firstLine="180"/>
        <w:rPr>
          <w:rFonts w:ascii="Times" w:hAnsi="Times" w:cs="Times"/>
          <w:color w:val="000000"/>
        </w:rPr>
      </w:pPr>
      <w:proofErr w:type="gramStart"/>
      <w:r w:rsidRPr="00636644">
        <w:rPr>
          <w:rFonts w:ascii="Times" w:hAnsi="Times" w:cs="Times"/>
          <w:color w:val="000000"/>
          <w:highlight w:val="yellow"/>
        </w:rPr>
        <w:t>esedékes</w:t>
      </w:r>
      <w:proofErr w:type="gramEnd"/>
      <w:r>
        <w:rPr>
          <w:rFonts w:ascii="Times" w:hAnsi="Times" w:cs="Times"/>
          <w:color w:val="000000"/>
        </w:rPr>
        <w:t>.</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(4a) Ha az ingatlanügyi hatóság a 15. § (1a) bekezdésében meghatározott körülmény fennállása mellett a termőföld belterületbe vonását engedélyezi, és az erről szóló határozat meghozatalának napjáig a korábban kiadott végleges más célú hasznosítás engedélyezéséről szóló határozat alapján a 22. § (4) bekezdés </w:t>
      </w:r>
      <w:r>
        <w:rPr>
          <w:rFonts w:ascii="Times" w:hAnsi="Times" w:cs="Times"/>
          <w:i/>
          <w:iCs/>
          <w:color w:val="000000"/>
        </w:rPr>
        <w:t>a)</w:t>
      </w:r>
      <w:r>
        <w:rPr>
          <w:rFonts w:ascii="Times" w:hAnsi="Times" w:cs="Times"/>
          <w:color w:val="000000"/>
        </w:rPr>
        <w:t> pontjában foglalt földvédelmi járulékfizetési kötelezettség esedékessége már beállt, a belterületbe vonás miatt a földvédelmi járulék összegét a termőföld végleges más célú hasznosításának engedélyezése miatt kiszabott jogerős határozatban megállapított földvédelmi járulék összegével csökkentett mértékben kell megállapítani.</w:t>
      </w:r>
    </w:p>
    <w:p w:rsidR="00CD30AB" w:rsidRDefault="00CD30AB" w:rsidP="00CD30AB">
      <w:pPr>
        <w:pStyle w:val="NormlWeb"/>
        <w:spacing w:before="0" w:beforeAutospacing="0" w:after="20" w:afterAutospacing="0"/>
        <w:ind w:firstLine="180"/>
        <w:jc w:val="both"/>
        <w:rPr>
          <w:rFonts w:ascii="Times" w:hAnsi="Times" w:cs="Times"/>
          <w:color w:val="000000"/>
        </w:rPr>
      </w:pPr>
      <w:r>
        <w:rPr>
          <w:rFonts w:ascii="Times" w:hAnsi="Times" w:cs="Times"/>
          <w:color w:val="000000"/>
        </w:rPr>
        <w:t>(5) A járulék fizetése alól felmentés nem adható és részletfizetési vagy egyéb kedvezmény sem engedélyezhető.</w:t>
      </w:r>
    </w:p>
    <w:p w:rsidR="00CD30AB" w:rsidRDefault="00CD30AB"/>
    <w:p w:rsidR="00435450" w:rsidRPr="00435450" w:rsidRDefault="00435450" w:rsidP="00435450">
      <w:pPr>
        <w:spacing w:before="160" w:line="240" w:lineRule="auto"/>
        <w:ind w:firstLine="180"/>
        <w:rPr>
          <w:rFonts w:ascii="Times" w:eastAsia="Times New Roman" w:hAnsi="Times" w:cs="Times"/>
          <w:color w:val="000000"/>
          <w:sz w:val="24"/>
          <w:szCs w:val="24"/>
          <w:lang w:eastAsia="hu-HU"/>
        </w:rPr>
      </w:pPr>
      <w:r w:rsidRPr="00435450">
        <w:rPr>
          <w:rFonts w:ascii="Times" w:eastAsia="Times New Roman" w:hAnsi="Times" w:cs="Times"/>
          <w:i/>
          <w:iCs/>
          <w:color w:val="000000"/>
          <w:sz w:val="24"/>
          <w:szCs w:val="24"/>
          <w:u w:val="single"/>
          <w:lang w:eastAsia="hu-HU"/>
        </w:rPr>
        <w:t>1. melléklet a 2007. évi CXXIX. törvényhez</w:t>
      </w:r>
      <w:bookmarkStart w:id="2" w:name="foot_309_place"/>
      <w:r w:rsidRPr="00435450">
        <w:rPr>
          <w:rFonts w:ascii="Times" w:eastAsia="Times New Roman" w:hAnsi="Times" w:cs="Times"/>
          <w:i/>
          <w:iCs/>
          <w:color w:val="000000"/>
          <w:sz w:val="24"/>
          <w:szCs w:val="24"/>
          <w:u w:val="single"/>
          <w:vertAlign w:val="superscript"/>
          <w:lang w:eastAsia="hu-HU"/>
        </w:rPr>
        <w:fldChar w:fldCharType="begin"/>
      </w:r>
      <w:r w:rsidRPr="00435450">
        <w:rPr>
          <w:rFonts w:ascii="Times" w:eastAsia="Times New Roman" w:hAnsi="Times" w:cs="Times"/>
          <w:i/>
          <w:iCs/>
          <w:color w:val="000000"/>
          <w:sz w:val="24"/>
          <w:szCs w:val="24"/>
          <w:u w:val="single"/>
          <w:vertAlign w:val="superscript"/>
          <w:lang w:eastAsia="hu-HU"/>
        </w:rPr>
        <w:instrText xml:space="preserve"> HYPERLINK "http://njt.hu/cgi_bin/njt_doc.cgi?docid=111491.383715" \l "foot309" </w:instrText>
      </w:r>
      <w:r w:rsidRPr="00435450">
        <w:rPr>
          <w:rFonts w:ascii="Times" w:eastAsia="Times New Roman" w:hAnsi="Times" w:cs="Times"/>
          <w:i/>
          <w:iCs/>
          <w:color w:val="000000"/>
          <w:sz w:val="24"/>
          <w:szCs w:val="24"/>
          <w:u w:val="single"/>
          <w:vertAlign w:val="superscript"/>
          <w:lang w:eastAsia="hu-HU"/>
        </w:rPr>
        <w:fldChar w:fldCharType="separate"/>
      </w:r>
      <w:r w:rsidRPr="00435450">
        <w:rPr>
          <w:rFonts w:ascii="Times" w:eastAsia="Times New Roman" w:hAnsi="Times" w:cs="Times"/>
          <w:i/>
          <w:iCs/>
          <w:color w:val="0000FF"/>
          <w:sz w:val="24"/>
          <w:szCs w:val="24"/>
          <w:u w:val="single"/>
          <w:vertAlign w:val="superscript"/>
          <w:lang w:eastAsia="hu-HU"/>
        </w:rPr>
        <w:t>309</w:t>
      </w:r>
      <w:r w:rsidRPr="00435450">
        <w:rPr>
          <w:rFonts w:ascii="Times" w:eastAsia="Times New Roman" w:hAnsi="Times" w:cs="Times"/>
          <w:i/>
          <w:iCs/>
          <w:color w:val="000000"/>
          <w:sz w:val="24"/>
          <w:szCs w:val="24"/>
          <w:u w:val="single"/>
          <w:vertAlign w:val="superscript"/>
          <w:lang w:eastAsia="hu-HU"/>
        </w:rPr>
        <w:fldChar w:fldCharType="end"/>
      </w:r>
      <w:bookmarkEnd w:id="2"/>
    </w:p>
    <w:p w:rsidR="00435450" w:rsidRPr="00435450" w:rsidRDefault="00435450" w:rsidP="00435450">
      <w:pPr>
        <w:spacing w:after="20" w:line="240" w:lineRule="auto"/>
        <w:ind w:left="380" w:firstLine="180"/>
        <w:rPr>
          <w:rFonts w:ascii="Times" w:eastAsia="Times New Roman" w:hAnsi="Times" w:cs="Times"/>
          <w:color w:val="000000"/>
          <w:sz w:val="24"/>
          <w:szCs w:val="24"/>
          <w:lang w:eastAsia="hu-HU"/>
        </w:rPr>
      </w:pPr>
      <w:r w:rsidRPr="00435450">
        <w:rPr>
          <w:rFonts w:ascii="Times" w:eastAsia="Times New Roman" w:hAnsi="Times" w:cs="Times"/>
          <w:b/>
          <w:bCs/>
          <w:color w:val="000000"/>
          <w:sz w:val="24"/>
          <w:szCs w:val="24"/>
          <w:lang w:eastAsia="hu-HU"/>
        </w:rPr>
        <w:t>A földvédelmi járulék mértéke</w:t>
      </w:r>
    </w:p>
    <w:p w:rsidR="00435450" w:rsidRPr="00435450" w:rsidRDefault="00435450" w:rsidP="00435450">
      <w:pPr>
        <w:spacing w:after="20" w:line="240" w:lineRule="auto"/>
        <w:ind w:left="380" w:hanging="38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xml:space="preserve">1.    A termőföld </w:t>
      </w:r>
      <w:r w:rsidRPr="00435450">
        <w:rPr>
          <w:rFonts w:ascii="Times" w:eastAsia="Times New Roman" w:hAnsi="Times" w:cs="Times"/>
          <w:color w:val="000000"/>
          <w:sz w:val="24"/>
          <w:szCs w:val="24"/>
          <w:highlight w:val="yellow"/>
          <w:lang w:eastAsia="hu-HU"/>
        </w:rPr>
        <w:t>végleges más célú hasznosításáért az igénybevétellel érintett termőföld aranykorona (a továbbiakban: AK) értéke e táblázat szerinti szorzatának</w:t>
      </w:r>
      <w:r w:rsidRPr="00435450">
        <w:rPr>
          <w:rFonts w:ascii="Times" w:eastAsia="Times New Roman" w:hAnsi="Times" w:cs="Times"/>
          <w:color w:val="000000"/>
          <w:sz w:val="24"/>
          <w:szCs w:val="24"/>
          <w:lang w:eastAsia="hu-HU"/>
        </w:rPr>
        <w:t xml:space="preserve"> megfelelő forintösszeget kell járulékként fizetni, de legalább 20 000 forintot.</w:t>
      </w:r>
    </w:p>
    <w:tbl>
      <w:tblPr>
        <w:tblW w:w="5460" w:type="dxa"/>
        <w:tblCellMar>
          <w:top w:w="15" w:type="dxa"/>
          <w:left w:w="15" w:type="dxa"/>
          <w:bottom w:w="15" w:type="dxa"/>
          <w:right w:w="15" w:type="dxa"/>
        </w:tblCellMar>
        <w:tblLook w:val="04A0" w:firstRow="1" w:lastRow="0" w:firstColumn="1" w:lastColumn="0" w:noHBand="0" w:noVBand="1"/>
      </w:tblPr>
      <w:tblGrid>
        <w:gridCol w:w="454"/>
        <w:gridCol w:w="1850"/>
        <w:gridCol w:w="3156"/>
      </w:tblGrid>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16"/>
                <w:szCs w:val="16"/>
                <w:lang w:eastAsia="hu-HU"/>
              </w:rPr>
              <w:t>Minőségi osztályok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16"/>
                <w:szCs w:val="16"/>
                <w:lang w:eastAsia="hu-HU"/>
              </w:rPr>
              <w:t>(AK szorzószáma)</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184 000</w:t>
            </w:r>
          </w:p>
        </w:tc>
      </w:tr>
      <w:tr w:rsidR="00435450" w:rsidRPr="00435450" w:rsidTr="00636644">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b/>
                <w:color w:val="000000"/>
                <w:sz w:val="24"/>
                <w:szCs w:val="24"/>
                <w:lang w:eastAsia="hu-HU"/>
              </w:rPr>
            </w:pPr>
            <w:r w:rsidRPr="00435450">
              <w:rPr>
                <w:rFonts w:ascii="Times" w:eastAsia="Times New Roman" w:hAnsi="Times" w:cs="Times"/>
                <w:b/>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152 000</w:t>
            </w:r>
          </w:p>
        </w:tc>
      </w:tr>
      <w:tr w:rsidR="00435450" w:rsidRPr="00435450" w:rsidTr="00636644">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b/>
                <w:color w:val="000000"/>
                <w:sz w:val="24"/>
                <w:szCs w:val="24"/>
                <w:lang w:eastAsia="hu-HU"/>
              </w:rPr>
            </w:pPr>
            <w:r w:rsidRPr="00435450">
              <w:rPr>
                <w:rFonts w:ascii="Times" w:eastAsia="Times New Roman" w:hAnsi="Times" w:cs="Times"/>
                <w:b/>
                <w:color w:val="000000"/>
                <w:sz w:val="24"/>
                <w:szCs w:val="24"/>
                <w:lang w:eastAsia="hu-H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b/>
                <w:color w:val="000000"/>
                <w:sz w:val="24"/>
                <w:szCs w:val="24"/>
                <w:lang w:eastAsia="hu-HU"/>
              </w:rPr>
            </w:pPr>
            <w:r w:rsidRPr="00435450">
              <w:rPr>
                <w:rFonts w:ascii="Times" w:eastAsia="Times New Roman" w:hAnsi="Times" w:cs="Times"/>
                <w:b/>
                <w:color w:val="000000"/>
                <w:sz w:val="24"/>
                <w:szCs w:val="24"/>
                <w:lang w:eastAsia="hu-HU"/>
              </w:rPr>
              <w:t>120 000</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IV.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88 000</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56 000</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VI.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35 000</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VII.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20 000</w:t>
            </w:r>
          </w:p>
        </w:tc>
      </w:tr>
      <w:tr w:rsidR="00435450" w:rsidRPr="00435450" w:rsidTr="00435450">
        <w:tc>
          <w:tcPr>
            <w:tcW w:w="0" w:type="auto"/>
            <w:tcBorders>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firstLine="180"/>
              <w:jc w:val="center"/>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VIII.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35450" w:rsidRPr="00435450" w:rsidRDefault="00435450" w:rsidP="00435450">
            <w:pPr>
              <w:spacing w:before="60" w:after="20" w:line="240" w:lineRule="auto"/>
              <w:ind w:right="1600" w:firstLine="180"/>
              <w:jc w:val="right"/>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4 000</w:t>
            </w:r>
          </w:p>
        </w:tc>
      </w:tr>
    </w:tbl>
    <w:p w:rsidR="00435450" w:rsidRPr="00435450" w:rsidRDefault="00435450" w:rsidP="00435450">
      <w:pPr>
        <w:spacing w:after="20" w:line="240" w:lineRule="auto"/>
        <w:ind w:left="380" w:hanging="38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2.    Az igénybevétellel érintett termőföld más célú időleges hasznosítása esetén a járulék mértéke a minőségi osztályra tekintet nélkül az első évre vonatkozóan a termőföld AK értéke ezerszeres szorzatának megfelelő forintösszeg, azzal, hogy a járulék összege 20 000 forintnál nem lehet kevesebb. A szorzót évente ezerrel növelni kell mindaddig, amíg a terület az eredeti állapotának helyreállítása elfogadásra kerül.</w:t>
      </w:r>
    </w:p>
    <w:p w:rsidR="00435450" w:rsidRPr="00435450" w:rsidRDefault="00435450" w:rsidP="00435450">
      <w:pPr>
        <w:spacing w:after="20" w:line="240" w:lineRule="auto"/>
        <w:ind w:left="380" w:hanging="38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3.    A járulék mértékének megállapításakor minden olyan megkezdett évet egész évnek kell tekinteni, amelyben a terület mezőgazdasági termeléssel nem hasznosítható.</w:t>
      </w:r>
    </w:p>
    <w:p w:rsidR="00435450" w:rsidRPr="00435450" w:rsidRDefault="00435450" w:rsidP="00435450">
      <w:pPr>
        <w:spacing w:after="20" w:line="240" w:lineRule="auto"/>
        <w:ind w:left="380" w:hanging="38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4.    A termőföld engedély nélküli más célú hasznosításakor</w:t>
      </w:r>
    </w:p>
    <w:p w:rsidR="00435450" w:rsidRPr="00435450" w:rsidRDefault="00435450" w:rsidP="00435450">
      <w:pPr>
        <w:spacing w:after="20" w:line="240" w:lineRule="auto"/>
        <w:ind w:left="1140" w:hanging="76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t>4.1.    a más célú hasznosításhoz való utólagos hozzájárulás esetén a járulék számításánál az 1. pontban foglaltakat kell alkalmazni;</w:t>
      </w:r>
    </w:p>
    <w:p w:rsidR="00435450" w:rsidRPr="00435450" w:rsidRDefault="00435450" w:rsidP="00435450">
      <w:pPr>
        <w:spacing w:after="20" w:line="240" w:lineRule="auto"/>
        <w:ind w:left="1140" w:hanging="760"/>
        <w:jc w:val="both"/>
        <w:rPr>
          <w:rFonts w:ascii="Times" w:eastAsia="Times New Roman" w:hAnsi="Times" w:cs="Times"/>
          <w:color w:val="000000"/>
          <w:sz w:val="24"/>
          <w:szCs w:val="24"/>
          <w:lang w:eastAsia="hu-HU"/>
        </w:rPr>
      </w:pPr>
      <w:r w:rsidRPr="00435450">
        <w:rPr>
          <w:rFonts w:ascii="Times" w:eastAsia="Times New Roman" w:hAnsi="Times" w:cs="Times"/>
          <w:color w:val="000000"/>
          <w:sz w:val="24"/>
          <w:szCs w:val="24"/>
          <w:lang w:eastAsia="hu-HU"/>
        </w:rPr>
        <w:lastRenderedPageBreak/>
        <w:t>4.2.    az elrendelt eredeti állapot helyreállításának elfogadása esetén a járulék számításánál a 2. pontban foglaltakat kell alkalmazni.</w:t>
      </w:r>
    </w:p>
    <w:sectPr w:rsidR="00435450" w:rsidRPr="0043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AB"/>
    <w:rsid w:val="00187DB9"/>
    <w:rsid w:val="00197C3F"/>
    <w:rsid w:val="00435450"/>
    <w:rsid w:val="00503EF4"/>
    <w:rsid w:val="00636644"/>
    <w:rsid w:val="00706A63"/>
    <w:rsid w:val="007176D7"/>
    <w:rsid w:val="00A320E3"/>
    <w:rsid w:val="00A52187"/>
    <w:rsid w:val="00AE0AF5"/>
    <w:rsid w:val="00B102A0"/>
    <w:rsid w:val="00CD30AB"/>
    <w:rsid w:val="00CD31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652A-999B-46F7-AFC1-48A0F3E4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D30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D3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777">
      <w:bodyDiv w:val="1"/>
      <w:marLeft w:val="0"/>
      <w:marRight w:val="0"/>
      <w:marTop w:val="0"/>
      <w:marBottom w:val="0"/>
      <w:divBdr>
        <w:top w:val="none" w:sz="0" w:space="0" w:color="auto"/>
        <w:left w:val="none" w:sz="0" w:space="0" w:color="auto"/>
        <w:bottom w:val="none" w:sz="0" w:space="0" w:color="auto"/>
        <w:right w:val="none" w:sz="0" w:space="0" w:color="auto"/>
      </w:divBdr>
    </w:div>
    <w:div w:id="966011379">
      <w:bodyDiv w:val="1"/>
      <w:marLeft w:val="0"/>
      <w:marRight w:val="0"/>
      <w:marTop w:val="0"/>
      <w:marBottom w:val="0"/>
      <w:divBdr>
        <w:top w:val="none" w:sz="0" w:space="0" w:color="auto"/>
        <w:left w:val="none" w:sz="0" w:space="0" w:color="auto"/>
        <w:bottom w:val="none" w:sz="0" w:space="0" w:color="auto"/>
        <w:right w:val="none" w:sz="0" w:space="0" w:color="auto"/>
      </w:divBdr>
    </w:div>
    <w:div w:id="1092505766">
      <w:bodyDiv w:val="1"/>
      <w:marLeft w:val="0"/>
      <w:marRight w:val="0"/>
      <w:marTop w:val="0"/>
      <w:marBottom w:val="0"/>
      <w:divBdr>
        <w:top w:val="none" w:sz="0" w:space="0" w:color="auto"/>
        <w:left w:val="none" w:sz="0" w:space="0" w:color="auto"/>
        <w:bottom w:val="none" w:sz="0" w:space="0" w:color="auto"/>
        <w:right w:val="none" w:sz="0" w:space="0" w:color="auto"/>
      </w:divBdr>
    </w:div>
    <w:div w:id="1178546910">
      <w:bodyDiv w:val="1"/>
      <w:marLeft w:val="0"/>
      <w:marRight w:val="0"/>
      <w:marTop w:val="0"/>
      <w:marBottom w:val="0"/>
      <w:divBdr>
        <w:top w:val="none" w:sz="0" w:space="0" w:color="auto"/>
        <w:left w:val="none" w:sz="0" w:space="0" w:color="auto"/>
        <w:bottom w:val="none" w:sz="0" w:space="0" w:color="auto"/>
        <w:right w:val="none" w:sz="0" w:space="0" w:color="auto"/>
      </w:divBdr>
    </w:div>
    <w:div w:id="1866282803">
      <w:bodyDiv w:val="1"/>
      <w:marLeft w:val="0"/>
      <w:marRight w:val="0"/>
      <w:marTop w:val="0"/>
      <w:marBottom w:val="0"/>
      <w:divBdr>
        <w:top w:val="none" w:sz="0" w:space="0" w:color="auto"/>
        <w:left w:val="none" w:sz="0" w:space="0" w:color="auto"/>
        <w:bottom w:val="none" w:sz="0" w:space="0" w:color="auto"/>
        <w:right w:val="none" w:sz="0" w:space="0" w:color="auto"/>
      </w:divBdr>
    </w:div>
    <w:div w:id="20026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8413</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Henriett Margit</dc:creator>
  <cp:keywords/>
  <dc:description/>
  <cp:lastModifiedBy>Kuti Henriett Margit</cp:lastModifiedBy>
  <cp:revision>2</cp:revision>
  <dcterms:created xsi:type="dcterms:W3CDTF">2020-08-04T10:07:00Z</dcterms:created>
  <dcterms:modified xsi:type="dcterms:W3CDTF">2020-08-04T10:07:00Z</dcterms:modified>
</cp:coreProperties>
</file>